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14:paraId="43BBCBB6" w14:textId="77777777"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14:paraId="43BBCBB3" w14:textId="77777777">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14:paraId="43BBCBB4" w14:textId="77777777">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14:paraId="43BBCBB5" w14:textId="77777777">
            <w:pPr>
              <w:spacing w:line="240" w:lineRule="auto"/>
              <w:jc w:val="center"/>
              <w:rPr>
                <w:rFonts w:cstheme="minorHAnsi"/>
                <w:b/>
                <w:bCs/>
              </w:rPr>
            </w:pPr>
            <w:r>
              <w:rPr>
                <w:rFonts w:cstheme="minorHAnsi"/>
                <w:b/>
                <w:bCs/>
              </w:rPr>
              <w:t>Date</w:t>
            </w:r>
          </w:p>
        </w:tc>
      </w:tr>
      <w:tr w14:paraId="43BBCBBC" w14:textId="77777777" w:rsidTr="00BF1CCE">
        <w:tblPrEx>
          <w:tblW w:w="10064" w:type="dxa"/>
          <w:tblLayout w:type="fixed"/>
          <w:tblLook w:val="0000"/>
        </w:tblPrEx>
        <w:trPr>
          <w:cantSplit/>
          <w:trHeight w:val="942"/>
        </w:trPr>
        <w:tc>
          <w:tcPr>
            <w:tcW w:w="2835" w:type="dxa"/>
            <w:vAlign w:val="center"/>
          </w:tcPr>
          <w:p w:rsidR="0084274C" w:rsidP="00BF1CCE" w14:paraId="019D91DE" w14:textId="77777777">
            <w:pPr>
              <w:spacing w:after="0"/>
              <w:jc w:val="center"/>
            </w:pPr>
          </w:p>
          <w:p w:rsidR="00284E95" w:rsidRPr="00ED4FF1" w:rsidP="00BF1CCE" w14:paraId="43BBCBB7" w14:textId="35D32E22">
            <w:pPr>
              <w:spacing w:after="0"/>
              <w:jc w:val="center"/>
            </w:pPr>
            <w:r>
              <w:t>Director of Finance</w:t>
            </w:r>
          </w:p>
          <w:p w:rsidR="00284E95" w:rsidRPr="00ED4FF1" w:rsidP="00BF1CCE" w14:paraId="43BBCBB8" w14:textId="7DC9359F">
            <w:pPr>
              <w:jc w:val="center"/>
            </w:pPr>
          </w:p>
        </w:tc>
        <w:tc>
          <w:tcPr>
            <w:tcW w:w="4678" w:type="dxa"/>
            <w:vAlign w:val="center"/>
          </w:tcPr>
          <w:p w:rsidR="0084274C" w:rsidP="00BF1CCE" w14:paraId="47878A58" w14:textId="77777777">
            <w:pPr>
              <w:spacing w:line="240" w:lineRule="auto"/>
              <w:jc w:val="center"/>
              <w:rPr>
                <w:rFonts w:cstheme="minorHAnsi"/>
              </w:rPr>
            </w:pPr>
          </w:p>
          <w:p w:rsidR="00284E95" w:rsidP="00BF1CCE" w14:paraId="43BBCBB9" w14:textId="2B1B0B26">
            <w:pPr>
              <w:spacing w:line="240" w:lineRule="auto"/>
              <w:jc w:val="center"/>
              <w:rPr>
                <w:rFonts w:cstheme="minorHAnsi"/>
              </w:rPr>
            </w:pPr>
            <w:r>
              <w:rPr>
                <w:rFonts w:cstheme="minorHAnsi"/>
              </w:rPr>
              <w:t>Governance Committee</w:t>
            </w:r>
          </w:p>
          <w:p w:rsidR="00284E95" w:rsidRPr="00ED4FF1" w:rsidP="00BF1CCE" w14:paraId="43BBCBBA" w14:textId="01A17CB8">
            <w:pPr>
              <w:spacing w:line="240" w:lineRule="auto"/>
              <w:jc w:val="center"/>
              <w:rPr>
                <w:rFonts w:cstheme="minorHAnsi"/>
              </w:rPr>
            </w:pPr>
          </w:p>
        </w:tc>
        <w:tc>
          <w:tcPr>
            <w:tcW w:w="2551" w:type="dxa"/>
            <w:vAlign w:val="center"/>
          </w:tcPr>
          <w:p w:rsidR="00284E95" w:rsidRPr="007D7E24" w:rsidP="00BF1CCE" w14:paraId="43BBCBBB" w14:textId="17EC0635">
            <w:pPr>
              <w:spacing w:line="240" w:lineRule="auto"/>
              <w:jc w:val="center"/>
              <w:rPr>
                <w:rFonts w:cstheme="minorHAnsi"/>
                <w:highlight w:val="yellow"/>
              </w:rPr>
            </w:pPr>
            <w:r w:rsidRPr="0084274C">
              <w:rPr>
                <w:rFonts w:cstheme="minorHAnsi"/>
              </w:rPr>
              <w:t>Tuesday 23 May 2023</w:t>
            </w:r>
          </w:p>
        </w:tc>
      </w:tr>
    </w:tbl>
    <w:p w:rsidR="00CF42B2" w:rsidP="002A4A7D" w14:paraId="43BBCBBD" w14:textId="77777777">
      <w:pPr>
        <w:spacing w:after="0"/>
      </w:pPr>
      <w:r>
        <w:rPr>
          <w:rFonts w:cstheme="minorHAnsi"/>
          <w:b/>
          <w:bCs/>
          <w:noProof/>
          <w:lang w:eastAsia="en-GB"/>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rsidR="00284E95" w:rsidP="002A4A7D" w14:paraId="43BBCBBE" w14:textId="77777777">
      <w:pPr>
        <w:pStyle w:val="Heading1"/>
        <w:spacing w:before="0" w:beforeAutospacing="0"/>
        <w:rPr>
          <w:rFonts w:asciiTheme="majorHAnsi" w:hAnsiTheme="majorHAnsi" w:cstheme="majorHAnsi"/>
          <w:sz w:val="28"/>
          <w:szCs w:val="28"/>
        </w:rPr>
      </w:pPr>
      <w:bookmarkStart w:id="1" w:name="_Hlk117101921"/>
    </w:p>
    <w:p w:rsidR="00BF1CCE" w:rsidP="00287DD0" w14:paraId="43BBCBBF" w14:textId="77777777">
      <w:pPr>
        <w:pStyle w:val="Heading1"/>
        <w:spacing w:before="0" w:beforeAutospacing="0" w:after="0" w:afterAutospacing="0"/>
        <w:rPr>
          <w:rFonts w:asciiTheme="majorHAnsi" w:hAnsiTheme="majorHAnsi" w:cstheme="majorHAnsi"/>
          <w:sz w:val="28"/>
          <w:szCs w:val="28"/>
        </w:rPr>
      </w:pPr>
    </w:p>
    <w:p w:rsidR="00BF1CCE" w:rsidRPr="003561D4" w:rsidP="00572907" w14:paraId="43BBCBC1" w14:textId="4133885E">
      <w:pPr>
        <w:spacing w:after="0"/>
        <w:rPr>
          <w:rFonts w:eastAsia="Times New Roman" w:cstheme="minorHAnsi"/>
          <w:b/>
          <w:color w:val="000000" w:themeColor="text1"/>
          <w:kern w:val="36"/>
          <w:highlight w:val="yellow"/>
          <w:lang w:eastAsia="en-GB"/>
        </w:rPr>
      </w:pPr>
      <w:r w:rsidRPr="003561D4">
        <w:rPr>
          <w:rFonts w:eastAsia="Times New Roman" w:cstheme="minorHAnsi"/>
          <w:b/>
          <w:color w:val="000000" w:themeColor="text1"/>
          <w:kern w:val="36"/>
          <w:lang w:eastAsia="en-GB"/>
        </w:rPr>
        <w:t>Management Response to External Audit Planning Enquiries</w:t>
      </w:r>
    </w:p>
    <w:p w:rsidR="003565C5" w:rsidRPr="007D7E24" w:rsidP="003565C5" w14:paraId="43BBCBC3" w14:textId="77777777">
      <w:pPr>
        <w:spacing w:after="0"/>
        <w:rPr>
          <w:rFonts w:eastAsia="Times New Roman" w:cstheme="minorHAnsi"/>
          <w:bCs/>
          <w:color w:val="000000" w:themeColor="text1"/>
          <w:kern w:val="36"/>
          <w:highlight w:val="yellow"/>
          <w:lang w:eastAsia="en-GB"/>
        </w:rPr>
      </w:pPr>
    </w:p>
    <w:tbl>
      <w:tblPr>
        <w:tblStyle w:val="TableGrid"/>
        <w:tblW w:w="0" w:type="auto"/>
        <w:tblLook w:val="04A0"/>
      </w:tblPr>
      <w:tblGrid>
        <w:gridCol w:w="4508"/>
        <w:gridCol w:w="4508"/>
      </w:tblGrid>
      <w:tr w14:paraId="43BBCBC7" w14:textId="77777777" w:rsidTr="00AC7C3F">
        <w:tblPrEx>
          <w:tblW w:w="0" w:type="auto"/>
          <w:tblLook w:val="04A0"/>
        </w:tblPrEx>
        <w:trPr>
          <w:trHeight w:val="343"/>
        </w:trPr>
        <w:tc>
          <w:tcPr>
            <w:tcW w:w="4508" w:type="dxa"/>
          </w:tcPr>
          <w:p w:rsidR="003565C5" w:rsidRPr="003561D4" w:rsidP="00867F12" w14:paraId="43BBCBC4" w14:textId="77777777">
            <w:pPr>
              <w:rPr>
                <w:rFonts w:eastAsia="Times New Roman" w:cstheme="minorHAnsi"/>
                <w:bCs/>
                <w:color w:val="000000" w:themeColor="text1"/>
                <w:kern w:val="36"/>
                <w:lang w:eastAsia="en-GB"/>
              </w:rPr>
            </w:pPr>
            <w:r w:rsidRPr="003561D4">
              <w:rPr>
                <w:rFonts w:eastAsia="Times New Roman" w:cstheme="minorHAnsi"/>
                <w:bCs/>
                <w:color w:val="000000" w:themeColor="text1"/>
                <w:kern w:val="36"/>
                <w:lang w:eastAsia="en-GB"/>
              </w:rPr>
              <w:t>Is this report confidential?</w:t>
            </w:r>
          </w:p>
        </w:tc>
        <w:tc>
          <w:tcPr>
            <w:tcW w:w="4508" w:type="dxa"/>
          </w:tcPr>
          <w:p w:rsidR="003565C5" w:rsidRPr="003561D4" w:rsidP="00867F12" w14:paraId="43BBCBC5" w14:textId="359FA7D4">
            <w:pPr>
              <w:rPr>
                <w:rFonts w:eastAsia="Times New Roman" w:cstheme="minorHAnsi"/>
                <w:bCs/>
                <w:color w:val="000000" w:themeColor="text1"/>
                <w:kern w:val="36"/>
                <w:lang w:eastAsia="en-GB"/>
              </w:rPr>
            </w:pPr>
            <w:r w:rsidRPr="003561D4">
              <w:rPr>
                <w:rFonts w:eastAsia="Times New Roman" w:cstheme="minorHAnsi"/>
                <w:bCs/>
                <w:color w:val="000000" w:themeColor="text1"/>
                <w:kern w:val="36"/>
                <w:lang w:eastAsia="en-GB"/>
              </w:rPr>
              <w:t>No</w:t>
            </w:r>
            <w:r w:rsidRPr="003561D4" w:rsidR="00AC7C3F">
              <w:rPr>
                <w:rFonts w:eastAsia="Times New Roman" w:cstheme="minorHAnsi"/>
                <w:bCs/>
                <w:color w:val="000000" w:themeColor="text1"/>
                <w:kern w:val="36"/>
                <w:lang w:eastAsia="en-GB"/>
              </w:rPr>
              <w:t xml:space="preserve"> </w:t>
            </w:r>
            <w:r w:rsidRPr="003561D4" w:rsidR="00B176A9">
              <w:rPr>
                <w:rFonts w:eastAsia="Times New Roman" w:cstheme="minorHAnsi"/>
                <w:bCs/>
                <w:color w:val="000000" w:themeColor="text1"/>
                <w:kern w:val="36"/>
                <w:lang w:eastAsia="en-GB"/>
              </w:rPr>
              <w:t xml:space="preserve"> </w:t>
            </w:r>
          </w:p>
          <w:p w:rsidR="003565C5" w:rsidRPr="003561D4" w:rsidP="00867F12" w14:paraId="43BBCBC6" w14:textId="3CBA5FF7">
            <w:pPr>
              <w:rPr>
                <w:rFonts w:eastAsia="Times New Roman" w:cstheme="minorHAnsi"/>
                <w:bCs/>
                <w:color w:val="000000" w:themeColor="text1"/>
                <w:kern w:val="36"/>
                <w:lang w:eastAsia="en-GB"/>
              </w:rPr>
            </w:pPr>
          </w:p>
        </w:tc>
      </w:tr>
    </w:tbl>
    <w:p w:rsidR="003565C5" w:rsidRPr="003561D4" w:rsidP="003565C5" w14:paraId="43BBCBC8" w14:textId="77777777">
      <w:pPr>
        <w:spacing w:after="0"/>
        <w:rPr>
          <w:rFonts w:eastAsia="Times New Roman" w:cstheme="minorHAnsi"/>
          <w:bCs/>
          <w:color w:val="000000" w:themeColor="text1"/>
          <w:kern w:val="36"/>
          <w:lang w:eastAsia="en-GB"/>
        </w:rPr>
      </w:pPr>
    </w:p>
    <w:tbl>
      <w:tblPr>
        <w:tblStyle w:val="TableGrid"/>
        <w:tblW w:w="0" w:type="auto"/>
        <w:tblLook w:val="04A0"/>
      </w:tblPr>
      <w:tblGrid>
        <w:gridCol w:w="4508"/>
        <w:gridCol w:w="4508"/>
      </w:tblGrid>
      <w:tr w14:paraId="43BBCBCB" w14:textId="77777777" w:rsidTr="003565C5">
        <w:tblPrEx>
          <w:tblW w:w="0" w:type="auto"/>
          <w:tblLook w:val="04A0"/>
        </w:tblPrEx>
        <w:tc>
          <w:tcPr>
            <w:tcW w:w="4508" w:type="dxa"/>
          </w:tcPr>
          <w:p w:rsidR="003565C5" w:rsidRPr="003561D4" w:rsidP="003565C5" w14:paraId="43BBCBC9" w14:textId="77777777">
            <w:pPr>
              <w:rPr>
                <w:rFonts w:eastAsia="Times New Roman" w:cstheme="minorHAnsi"/>
                <w:bCs/>
                <w:color w:val="000000" w:themeColor="text1"/>
                <w:kern w:val="36"/>
                <w:lang w:eastAsia="en-GB"/>
              </w:rPr>
            </w:pPr>
            <w:r w:rsidRPr="003561D4">
              <w:rPr>
                <w:rFonts w:eastAsia="Times New Roman" w:cstheme="minorHAnsi"/>
                <w:bCs/>
                <w:kern w:val="36"/>
                <w:lang w:eastAsia="en-GB"/>
              </w:rPr>
              <w:t>Is this decision key?</w:t>
            </w:r>
          </w:p>
        </w:tc>
        <w:tc>
          <w:tcPr>
            <w:tcW w:w="4508" w:type="dxa"/>
          </w:tcPr>
          <w:p w:rsidR="003565C5" w:rsidRPr="003561D4" w:rsidP="003565C5" w14:paraId="43BBCBCA" w14:textId="7C5A91DC">
            <w:pPr>
              <w:rPr>
                <w:rFonts w:eastAsia="Times New Roman" w:cstheme="minorHAnsi"/>
                <w:bCs/>
                <w:color w:val="000000" w:themeColor="text1"/>
                <w:kern w:val="36"/>
                <w:lang w:eastAsia="en-GB"/>
              </w:rPr>
            </w:pPr>
            <w:r w:rsidRPr="003561D4">
              <w:rPr>
                <w:rFonts w:eastAsia="Times New Roman" w:cstheme="minorHAnsi"/>
                <w:bCs/>
                <w:color w:val="000000" w:themeColor="text1"/>
                <w:kern w:val="36"/>
                <w:lang w:eastAsia="en-GB"/>
              </w:rPr>
              <w:t>No</w:t>
            </w:r>
          </w:p>
        </w:tc>
      </w:tr>
    </w:tbl>
    <w:p w:rsidR="003565C5" w:rsidRPr="003561D4" w:rsidP="003565C5" w14:paraId="43BBCBCC" w14:textId="77777777">
      <w:pPr>
        <w:spacing w:after="0"/>
        <w:rPr>
          <w:rFonts w:eastAsia="Times New Roman" w:cstheme="minorHAnsi"/>
          <w:bCs/>
          <w:color w:val="000000" w:themeColor="text1"/>
          <w:kern w:val="36"/>
          <w:lang w:eastAsia="en-GB"/>
        </w:rPr>
      </w:pPr>
    </w:p>
    <w:tbl>
      <w:tblPr>
        <w:tblStyle w:val="TableGrid"/>
        <w:tblW w:w="0" w:type="auto"/>
        <w:tblLook w:val="04A0"/>
      </w:tblPr>
      <w:tblGrid>
        <w:gridCol w:w="4508"/>
        <w:gridCol w:w="4508"/>
      </w:tblGrid>
      <w:tr w14:paraId="43BBCBD0" w14:textId="77777777" w:rsidTr="003565C5">
        <w:tblPrEx>
          <w:tblW w:w="0" w:type="auto"/>
          <w:tblLook w:val="04A0"/>
        </w:tblPrEx>
        <w:tc>
          <w:tcPr>
            <w:tcW w:w="4508" w:type="dxa"/>
          </w:tcPr>
          <w:p w:rsidR="003565C5" w:rsidRPr="003561D4" w:rsidP="003565C5" w14:paraId="43BBCBCD" w14:textId="77777777">
            <w:pPr>
              <w:rPr>
                <w:rFonts w:eastAsia="Times New Roman" w:cstheme="minorHAnsi"/>
                <w:bCs/>
                <w:color w:val="000000" w:themeColor="text1"/>
                <w:kern w:val="36"/>
                <w:lang w:eastAsia="en-GB"/>
              </w:rPr>
            </w:pPr>
            <w:r w:rsidRPr="003561D4">
              <w:rPr>
                <w:rFonts w:eastAsia="Times New Roman" w:cstheme="minorHAnsi"/>
                <w:bCs/>
                <w:color w:val="000000" w:themeColor="text1"/>
                <w:kern w:val="36"/>
                <w:lang w:eastAsia="en-GB"/>
              </w:rPr>
              <w:t>Savings or expenditure amounting to greater than £100,000</w:t>
            </w:r>
          </w:p>
        </w:tc>
        <w:tc>
          <w:tcPr>
            <w:tcW w:w="4508" w:type="dxa"/>
          </w:tcPr>
          <w:p w:rsidR="00AC7C3F" w:rsidRPr="003561D4" w:rsidP="00AC7C3F" w14:paraId="43BBCBCE" w14:textId="0C1783FE">
            <w:pPr>
              <w:rPr>
                <w:rFonts w:eastAsia="Times New Roman" w:cstheme="minorHAnsi"/>
                <w:bCs/>
                <w:color w:val="000000" w:themeColor="text1"/>
                <w:kern w:val="36"/>
                <w:lang w:eastAsia="en-GB"/>
              </w:rPr>
            </w:pPr>
            <w:r w:rsidRPr="003561D4">
              <w:rPr>
                <w:rFonts w:eastAsia="Times New Roman" w:cstheme="minorHAnsi"/>
                <w:bCs/>
                <w:color w:val="000000" w:themeColor="text1"/>
                <w:kern w:val="36"/>
                <w:lang w:eastAsia="en-GB"/>
              </w:rPr>
              <w:t>No</w:t>
            </w:r>
          </w:p>
          <w:p w:rsidR="003565C5" w:rsidRPr="003561D4" w:rsidP="003565C5" w14:paraId="43BBCBCF" w14:textId="459F8B23">
            <w:pPr>
              <w:rPr>
                <w:rFonts w:eastAsia="Times New Roman" w:cstheme="minorHAnsi"/>
                <w:bCs/>
                <w:color w:val="000000" w:themeColor="text1"/>
                <w:kern w:val="36"/>
                <w:lang w:eastAsia="en-GB"/>
              </w:rPr>
            </w:pPr>
          </w:p>
        </w:tc>
      </w:tr>
    </w:tbl>
    <w:p w:rsidR="003565C5" w:rsidP="003565C5" w14:paraId="43BBCBD1" w14:textId="3C691B00">
      <w:pPr>
        <w:spacing w:after="0"/>
        <w:rPr>
          <w:rFonts w:eastAsia="Times New Roman" w:cstheme="minorHAnsi"/>
          <w:bCs/>
          <w:color w:val="000000" w:themeColor="text1"/>
          <w:kern w:val="36"/>
          <w:highlight w:val="yellow"/>
          <w:lang w:eastAsia="en-GB"/>
        </w:rPr>
      </w:pPr>
    </w:p>
    <w:p w:rsidR="003561D4" w:rsidP="003561D4" w14:paraId="0212D753" w14:textId="7777777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Purpose of the Report</w:t>
      </w:r>
    </w:p>
    <w:p w:rsidR="003561D4" w:rsidRPr="002F1805" w:rsidP="003561D4" w14:paraId="27DB3E08" w14:textId="77777777">
      <w:pPr>
        <w:pStyle w:val="Heading2"/>
        <w:spacing w:before="0" w:beforeAutospacing="0" w:after="0" w:afterAutospacing="0"/>
        <w:rPr>
          <w:rFonts w:asciiTheme="minorHAnsi" w:hAnsiTheme="minorHAnsi" w:cstheme="minorHAnsi"/>
          <w:sz w:val="22"/>
          <w:szCs w:val="22"/>
        </w:rPr>
      </w:pPr>
    </w:p>
    <w:p w:rsidR="003561D4" w:rsidRPr="007637E9" w:rsidP="003561D4" w14:paraId="20E77933" w14:textId="77777777">
      <w:pPr>
        <w:pStyle w:val="Heading2"/>
        <w:spacing w:before="0" w:beforeAutospacing="0" w:after="0" w:afterAutospacing="0"/>
        <w:rPr>
          <w:rFonts w:asciiTheme="majorHAnsi" w:hAnsiTheme="majorHAnsi" w:cstheme="majorHAnsi"/>
          <w:sz w:val="2"/>
          <w:szCs w:val="14"/>
        </w:rPr>
      </w:pPr>
    </w:p>
    <w:p w:rsidR="003561D4" w:rsidRPr="003E3722" w:rsidP="003561D4" w14:paraId="6B215E29" w14:textId="77777777">
      <w:pPr>
        <w:numPr>
          <w:ilvl w:val="0"/>
          <w:numId w:val="8"/>
        </w:numPr>
        <w:spacing w:after="0" w:line="240" w:lineRule="auto"/>
        <w:ind w:left="567" w:hanging="567"/>
        <w:jc w:val="both"/>
        <w:rPr>
          <w:rFonts w:cstheme="minorHAnsi"/>
          <w:bCs/>
          <w:iCs/>
        </w:rPr>
      </w:pPr>
      <w:r w:rsidRPr="00C912A5">
        <w:rPr>
          <w:rFonts w:cstheme="minorHAnsi"/>
          <w:bCs/>
          <w:iCs/>
        </w:rPr>
        <w:t>To present to the Governance Committee, as those charged with governance of the Council, the management responses provided to the planning enquiries made by the External Auditors, Grant Thornton, as part of the 202</w:t>
      </w:r>
      <w:r>
        <w:rPr>
          <w:rFonts w:cstheme="minorHAnsi"/>
          <w:bCs/>
          <w:iCs/>
        </w:rPr>
        <w:t>2</w:t>
      </w:r>
      <w:r w:rsidRPr="00C912A5">
        <w:rPr>
          <w:rFonts w:cstheme="minorHAnsi"/>
          <w:bCs/>
          <w:iCs/>
        </w:rPr>
        <w:t>/2</w:t>
      </w:r>
      <w:r>
        <w:rPr>
          <w:rFonts w:cstheme="minorHAnsi"/>
          <w:bCs/>
          <w:iCs/>
        </w:rPr>
        <w:t>3</w:t>
      </w:r>
      <w:r w:rsidRPr="00C912A5">
        <w:rPr>
          <w:rFonts w:cstheme="minorHAnsi"/>
          <w:bCs/>
          <w:iCs/>
        </w:rPr>
        <w:t xml:space="preserve"> statutory accounts</w:t>
      </w:r>
      <w:r>
        <w:rPr>
          <w:rFonts w:cstheme="minorHAnsi"/>
          <w:bCs/>
          <w:iCs/>
        </w:rPr>
        <w:t xml:space="preserve">. </w:t>
      </w:r>
    </w:p>
    <w:p w:rsidR="003561D4" w:rsidP="003561D4" w14:paraId="7A26336B" w14:textId="7777777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14:paraId="691622FF" w14:textId="77777777" w:rsidTr="00A02F4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9016" w:type="dxa"/>
          </w:tcPr>
          <w:p w:rsidR="003561D4" w:rsidRPr="00E811D7" w:rsidP="00A02F47" w14:paraId="268F78B3" w14:textId="77777777">
            <w:pPr>
              <w:pStyle w:val="Heading2"/>
              <w:spacing w:before="0" w:beforeAutospacing="0" w:after="0" w:afterAutospacing="0"/>
              <w:ind w:left="-105"/>
              <w:outlineLvl w:val="1"/>
              <w:rPr>
                <w:rFonts w:ascii="Arial" w:hAnsi="Arial" w:cs="Arial"/>
                <w:sz w:val="22"/>
              </w:rPr>
            </w:pPr>
            <w:r w:rsidRPr="00E811D7">
              <w:rPr>
                <w:rFonts w:ascii="Arial" w:hAnsi="Arial" w:cs="Arial"/>
                <w:sz w:val="22"/>
              </w:rPr>
              <w:t>Recommendations</w:t>
            </w:r>
          </w:p>
        </w:tc>
      </w:tr>
      <w:tr w14:paraId="4C778E99" w14:textId="77777777" w:rsidTr="00A02F47">
        <w:tblPrEx>
          <w:tblW w:w="0" w:type="auto"/>
          <w:tblLook w:val="04A0"/>
        </w:tblPrEx>
        <w:tc>
          <w:tcPr>
            <w:tcW w:w="9016" w:type="dxa"/>
          </w:tcPr>
          <w:p w:rsidR="003561D4" w:rsidRPr="00E811D7" w:rsidP="00A02F47" w14:paraId="114984C7" w14:textId="77777777">
            <w:pPr>
              <w:numPr>
                <w:ilvl w:val="0"/>
                <w:numId w:val="8"/>
              </w:numPr>
              <w:ind w:left="462" w:hanging="567"/>
              <w:jc w:val="both"/>
              <w:rPr>
                <w:rFonts w:cstheme="minorHAnsi"/>
                <w:bCs/>
                <w:iCs/>
              </w:rPr>
            </w:pPr>
            <w:r w:rsidRPr="009811B2">
              <w:rPr>
                <w:rFonts w:cstheme="minorHAnsi"/>
                <w:bCs/>
                <w:iCs/>
              </w:rPr>
              <w:t>The Governance Committee, is asked to review and approve the management responses to the auditors enquires, as attached.</w:t>
            </w:r>
          </w:p>
        </w:tc>
      </w:tr>
    </w:tbl>
    <w:p w:rsidR="003561D4" w:rsidRPr="002F1805" w:rsidP="003561D4" w14:paraId="21A6684A" w14:textId="77777777">
      <w:pPr>
        <w:spacing w:after="0" w:line="240" w:lineRule="auto"/>
        <w:jc w:val="both"/>
        <w:rPr>
          <w:rFonts w:cstheme="minorHAnsi"/>
          <w:bCs/>
          <w:iCs/>
        </w:rPr>
      </w:pPr>
    </w:p>
    <w:tbl>
      <w:tblPr>
        <w:tblStyle w:val="TableGrid"/>
        <w:tblW w:w="0" w:type="auto"/>
        <w:tblLook w:val="04A0"/>
      </w:tblPr>
      <w:tblGrid>
        <w:gridCol w:w="9016"/>
      </w:tblGrid>
      <w:tr w14:paraId="59E29CD1" w14:textId="77777777" w:rsidTr="00A02F47">
        <w:tblPrEx>
          <w:tblW w:w="0" w:type="auto"/>
          <w:tblLook w:val="04A0"/>
        </w:tblPrEx>
        <w:trPr>
          <w:trHeight w:val="506"/>
        </w:trPr>
        <w:tc>
          <w:tcPr>
            <w:tcW w:w="9016" w:type="dxa"/>
            <w:tcBorders>
              <w:top w:val="nil"/>
              <w:left w:val="nil"/>
              <w:bottom w:val="nil"/>
              <w:right w:val="nil"/>
            </w:tcBorders>
          </w:tcPr>
          <w:p w:rsidR="003561D4" w:rsidRPr="00E811D7" w:rsidP="00A02F47" w14:paraId="07FB9728" w14:textId="77777777">
            <w:pPr>
              <w:pStyle w:val="Heading2"/>
              <w:spacing w:before="0" w:beforeAutospacing="0" w:after="0" w:afterAutospacing="0"/>
              <w:ind w:hanging="105"/>
              <w:outlineLvl w:val="1"/>
              <w:rPr>
                <w:rFonts w:asciiTheme="majorHAnsi" w:hAnsiTheme="majorHAnsi" w:cstheme="majorHAnsi"/>
                <w:sz w:val="22"/>
                <w:szCs w:val="22"/>
              </w:rPr>
            </w:pPr>
            <w:r w:rsidRPr="00E811D7">
              <w:rPr>
                <w:rFonts w:asciiTheme="majorHAnsi" w:hAnsiTheme="majorHAnsi" w:cstheme="majorHAnsi"/>
                <w:sz w:val="22"/>
                <w:szCs w:val="22"/>
              </w:rPr>
              <w:t>Reasons for recommendations</w:t>
            </w:r>
          </w:p>
        </w:tc>
      </w:tr>
      <w:tr w14:paraId="51A8CE1B" w14:textId="77777777" w:rsidTr="00A02F47">
        <w:tblPrEx>
          <w:tblW w:w="0" w:type="auto"/>
          <w:tblLook w:val="04A0"/>
        </w:tblPrEx>
        <w:tc>
          <w:tcPr>
            <w:tcW w:w="9016" w:type="dxa"/>
            <w:tcBorders>
              <w:top w:val="nil"/>
              <w:left w:val="nil"/>
              <w:bottom w:val="nil"/>
              <w:right w:val="nil"/>
            </w:tcBorders>
          </w:tcPr>
          <w:p w:rsidR="003561D4" w:rsidRPr="00AA48CD" w:rsidP="00A02F47" w14:paraId="65A6DC1C" w14:textId="77777777">
            <w:pPr>
              <w:pStyle w:val="ListParagraph"/>
              <w:numPr>
                <w:ilvl w:val="0"/>
                <w:numId w:val="8"/>
              </w:numPr>
              <w:spacing w:after="0" w:line="240" w:lineRule="auto"/>
              <w:ind w:left="459" w:hanging="567"/>
              <w:jc w:val="both"/>
              <w:rPr>
                <w:rFonts w:cstheme="minorHAnsi"/>
                <w:bCs/>
                <w:iCs/>
              </w:rPr>
            </w:pPr>
            <w:r w:rsidRPr="00AA48CD">
              <w:rPr>
                <w:rFonts w:cstheme="minorHAnsi"/>
                <w:bCs/>
                <w:iCs/>
              </w:rPr>
              <w:t>In line with Auditing Standards, and to support the Audit Planning process, the External Auditors need to establish the risk of fraud or error.</w:t>
            </w:r>
          </w:p>
          <w:p w:rsidR="003561D4" w:rsidRPr="00AA48CD" w:rsidP="00A02F47" w14:paraId="4D570460" w14:textId="77777777">
            <w:pPr>
              <w:jc w:val="both"/>
              <w:rPr>
                <w:rFonts w:cstheme="minorHAnsi"/>
                <w:bCs/>
                <w:iCs/>
              </w:rPr>
            </w:pPr>
          </w:p>
          <w:p w:rsidR="003561D4" w:rsidRPr="00AA48CD" w:rsidP="00A02F47" w14:paraId="1E4FA76D" w14:textId="77777777">
            <w:pPr>
              <w:pStyle w:val="ListParagraph"/>
              <w:numPr>
                <w:ilvl w:val="0"/>
                <w:numId w:val="8"/>
              </w:numPr>
              <w:spacing w:after="0" w:line="240" w:lineRule="auto"/>
              <w:ind w:left="459" w:hanging="567"/>
              <w:jc w:val="both"/>
              <w:rPr>
                <w:rFonts w:cstheme="minorHAnsi"/>
                <w:bCs/>
                <w:iCs/>
              </w:rPr>
            </w:pPr>
            <w:r w:rsidRPr="00AA48CD">
              <w:rPr>
                <w:rFonts w:cstheme="minorHAnsi"/>
                <w:bCs/>
                <w:iCs/>
              </w:rPr>
              <w:t xml:space="preserve">The Auditors’ questions, answers provided by Management, and details of estimates / methodology used are outlined at Appendix </w:t>
            </w:r>
            <w:r>
              <w:rPr>
                <w:rFonts w:cstheme="minorHAnsi"/>
                <w:bCs/>
                <w:iCs/>
              </w:rPr>
              <w:t>A</w:t>
            </w:r>
            <w:r w:rsidRPr="00AA48CD">
              <w:rPr>
                <w:rFonts w:cstheme="minorHAnsi"/>
                <w:bCs/>
                <w:iCs/>
              </w:rPr>
              <w:t>.</w:t>
            </w:r>
          </w:p>
          <w:p w:rsidR="003561D4" w:rsidRPr="00AA48CD" w:rsidP="00A02F47" w14:paraId="70D6BE30" w14:textId="77777777">
            <w:pPr>
              <w:jc w:val="both"/>
              <w:rPr>
                <w:rFonts w:cstheme="minorHAnsi"/>
                <w:bCs/>
                <w:iCs/>
              </w:rPr>
            </w:pPr>
          </w:p>
          <w:p w:rsidR="003561D4" w:rsidRPr="00AA48CD" w:rsidP="00A02F47" w14:paraId="794B1D1D" w14:textId="77777777">
            <w:pPr>
              <w:pStyle w:val="ListParagraph"/>
              <w:numPr>
                <w:ilvl w:val="0"/>
                <w:numId w:val="8"/>
              </w:numPr>
              <w:spacing w:after="0" w:line="240" w:lineRule="auto"/>
              <w:ind w:left="459" w:hanging="567"/>
              <w:jc w:val="both"/>
              <w:rPr>
                <w:rFonts w:cstheme="minorHAnsi"/>
                <w:bCs/>
                <w:iCs/>
              </w:rPr>
            </w:pPr>
            <w:r>
              <w:rPr>
                <w:rFonts w:cstheme="minorHAnsi"/>
                <w:bCs/>
                <w:iCs/>
              </w:rPr>
              <w:t>Once again, t</w:t>
            </w:r>
            <w:r w:rsidRPr="00AA48CD">
              <w:rPr>
                <w:rFonts w:cstheme="minorHAnsi"/>
                <w:bCs/>
                <w:iCs/>
              </w:rPr>
              <w:t>his report is being brought to Governance Committee early this year to ensure a prompt start, and timely conclusion to the Audit.</w:t>
            </w:r>
          </w:p>
        </w:tc>
      </w:tr>
    </w:tbl>
    <w:p w:rsidR="003561D4" w:rsidRPr="00D4431F" w:rsidP="003561D4" w14:paraId="53F7C34A" w14:textId="7777777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14:paraId="57C8A10E" w14:textId="77777777" w:rsidTr="00A02F4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6"/>
        </w:trPr>
        <w:tc>
          <w:tcPr>
            <w:tcW w:w="9016" w:type="dxa"/>
          </w:tcPr>
          <w:p w:rsidR="003561D4" w:rsidRPr="00E811D7" w:rsidP="00A02F47" w14:paraId="630BD3C9" w14:textId="77777777">
            <w:pPr>
              <w:pStyle w:val="Heading2"/>
              <w:spacing w:before="0" w:beforeAutospacing="0" w:after="0" w:afterAutospacing="0"/>
              <w:ind w:hanging="105"/>
              <w:outlineLvl w:val="1"/>
              <w:rPr>
                <w:rFonts w:asciiTheme="majorHAnsi" w:hAnsiTheme="majorHAnsi" w:cstheme="majorHAnsi"/>
                <w:sz w:val="22"/>
                <w:szCs w:val="22"/>
              </w:rPr>
            </w:pPr>
            <w:r w:rsidRPr="00E811D7">
              <w:rPr>
                <w:rFonts w:asciiTheme="majorHAnsi" w:hAnsiTheme="majorHAnsi" w:cstheme="majorHAnsi"/>
                <w:sz w:val="22"/>
                <w:szCs w:val="22"/>
              </w:rPr>
              <w:t>Other options considered and rejected</w:t>
            </w:r>
          </w:p>
        </w:tc>
      </w:tr>
      <w:tr w14:paraId="55EA1ADC" w14:textId="77777777" w:rsidTr="00A02F47">
        <w:tblPrEx>
          <w:tblW w:w="0" w:type="auto"/>
          <w:tblLook w:val="04A0"/>
        </w:tblPrEx>
        <w:tc>
          <w:tcPr>
            <w:tcW w:w="9016" w:type="dxa"/>
          </w:tcPr>
          <w:p w:rsidR="003561D4" w:rsidRPr="00E811D7" w:rsidP="00A02F47" w14:paraId="46D78A86" w14:textId="77777777">
            <w:pPr>
              <w:numPr>
                <w:ilvl w:val="0"/>
                <w:numId w:val="8"/>
              </w:numPr>
              <w:ind w:left="459" w:hanging="567"/>
              <w:jc w:val="both"/>
              <w:rPr>
                <w:rFonts w:cstheme="minorHAnsi"/>
                <w:bCs/>
                <w:iCs/>
              </w:rPr>
            </w:pPr>
            <w:r>
              <w:rPr>
                <w:rFonts w:cstheme="minorHAnsi"/>
                <w:bCs/>
                <w:iCs/>
              </w:rPr>
              <w:t>Not applicable</w:t>
            </w:r>
            <w:r w:rsidRPr="00E811D7">
              <w:rPr>
                <w:rFonts w:cstheme="minorHAnsi"/>
                <w:bCs/>
                <w:iCs/>
              </w:rPr>
              <w:t xml:space="preserve">. </w:t>
            </w:r>
          </w:p>
        </w:tc>
      </w:tr>
    </w:tbl>
    <w:p w:rsidR="003561D4" w:rsidRPr="002F1805" w:rsidP="003561D4" w14:paraId="11153E25" w14:textId="77777777">
      <w:pPr>
        <w:spacing w:after="0" w:line="240" w:lineRule="auto"/>
        <w:jc w:val="both"/>
        <w:rPr>
          <w:rFonts w:cstheme="minorHAnsi"/>
          <w:bCs/>
          <w:iCs/>
        </w:rPr>
      </w:pPr>
    </w:p>
    <w:p w:rsidR="003561D4" w:rsidP="003561D4" w14:paraId="76FDCB35" w14:textId="7777777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Corporate priorities</w:t>
      </w:r>
    </w:p>
    <w:p w:rsidR="003561D4" w:rsidRPr="002F1805" w:rsidP="003561D4" w14:paraId="0169B22F" w14:textId="77777777">
      <w:pPr>
        <w:pStyle w:val="Heading2"/>
        <w:spacing w:before="0" w:beforeAutospacing="0" w:after="0" w:afterAutospacing="0"/>
        <w:rPr>
          <w:rFonts w:asciiTheme="minorHAnsi" w:hAnsiTheme="minorHAnsi" w:cstheme="minorHAnsi"/>
          <w:sz w:val="22"/>
          <w:szCs w:val="22"/>
        </w:rPr>
      </w:pPr>
    </w:p>
    <w:p w:rsidR="003561D4" w:rsidRPr="003270B5" w:rsidP="003561D4" w14:paraId="4EE5675A" w14:textId="77777777">
      <w:pPr>
        <w:numPr>
          <w:ilvl w:val="0"/>
          <w:numId w:val="8"/>
        </w:numPr>
        <w:spacing w:after="0" w:line="240" w:lineRule="auto"/>
        <w:ind w:left="567" w:hanging="567"/>
        <w:jc w:val="both"/>
        <w:rPr>
          <w:rFonts w:cstheme="minorHAnsi"/>
          <w:bCs/>
          <w:iCs/>
        </w:rPr>
      </w:pPr>
      <w:r w:rsidRPr="003270B5">
        <w:rPr>
          <w:rFonts w:cstheme="minorHAnsi"/>
          <w:bCs/>
        </w:rPr>
        <w:t>The report relates to the following corporate priorities:</w:t>
      </w:r>
    </w:p>
    <w:p w:rsidR="003561D4" w:rsidRPr="003270B5" w:rsidP="003561D4" w14:paraId="51BABCF7" w14:textId="77777777">
      <w:pPr>
        <w:spacing w:after="0" w:line="240" w:lineRule="auto"/>
        <w:ind w:left="567"/>
        <w:jc w:val="both"/>
        <w:rPr>
          <w:rFonts w:cstheme="minorHAnsi"/>
          <w:bCs/>
          <w:iCs/>
        </w:rPr>
      </w:pPr>
    </w:p>
    <w:p w:rsidR="003561D4" w:rsidP="003561D4" w14:paraId="1225F7F8" w14:textId="530A94A6">
      <w:pPr>
        <w:spacing w:after="0" w:line="240" w:lineRule="auto"/>
        <w:jc w:val="both"/>
        <w:rPr>
          <w:rFonts w:cstheme="minorHAnsi"/>
          <w:bCs/>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14:paraId="5E3BC586" w14:textId="77777777" w:rsidTr="00A02F47">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3561D4" w:rsidRPr="003561D4" w:rsidP="00A02F47" w14:paraId="6E5F1F43" w14:textId="77777777">
            <w:pPr>
              <w:spacing w:line="240" w:lineRule="auto"/>
              <w:jc w:val="center"/>
              <w:rPr>
                <w:rFonts w:cstheme="minorHAnsi"/>
                <w:b/>
              </w:rPr>
            </w:pPr>
            <w:r w:rsidRPr="003561D4">
              <w:rPr>
                <w:rFonts w:cstheme="minorHAnsi"/>
                <w:b/>
              </w:rPr>
              <w:t>An exemplary council</w:t>
            </w:r>
          </w:p>
        </w:tc>
        <w:tc>
          <w:tcPr>
            <w:tcW w:w="4678" w:type="dxa"/>
            <w:vAlign w:val="center"/>
          </w:tcPr>
          <w:p w:rsidR="003561D4" w:rsidRPr="003561D4" w:rsidP="00A02F47" w14:paraId="523F375D" w14:textId="77777777">
            <w:pPr>
              <w:spacing w:line="240" w:lineRule="auto"/>
              <w:jc w:val="center"/>
              <w:rPr>
                <w:rFonts w:cstheme="minorHAnsi"/>
                <w:b/>
              </w:rPr>
            </w:pPr>
            <w:r w:rsidRPr="003561D4">
              <w:rPr>
                <w:rFonts w:cstheme="minorHAnsi"/>
                <w:b/>
              </w:rPr>
              <w:t>Thriving communities</w:t>
            </w:r>
          </w:p>
        </w:tc>
      </w:tr>
      <w:tr w14:paraId="1668D529" w14:textId="77777777" w:rsidTr="00A02F47">
        <w:tblPrEx>
          <w:tblW w:w="9526" w:type="dxa"/>
          <w:tblLook w:val="04A0"/>
        </w:tblPrEx>
        <w:tc>
          <w:tcPr>
            <w:tcW w:w="4848" w:type="dxa"/>
            <w:shd w:val="clear" w:color="auto" w:fill="auto"/>
            <w:vAlign w:val="center"/>
          </w:tcPr>
          <w:p w:rsidR="003561D4" w:rsidRPr="003561D4" w:rsidP="00A02F47" w14:paraId="36157E3F" w14:textId="77777777">
            <w:pPr>
              <w:spacing w:line="240" w:lineRule="auto"/>
              <w:jc w:val="center"/>
              <w:rPr>
                <w:rFonts w:cstheme="minorHAnsi"/>
                <w:b/>
              </w:rPr>
            </w:pPr>
            <w:r w:rsidRPr="003561D4">
              <w:rPr>
                <w:rFonts w:cstheme="minorHAnsi"/>
                <w:b/>
              </w:rPr>
              <w:t>A fair local economy that works for everyone</w:t>
            </w:r>
          </w:p>
        </w:tc>
        <w:tc>
          <w:tcPr>
            <w:tcW w:w="4678" w:type="dxa"/>
            <w:vAlign w:val="center"/>
          </w:tcPr>
          <w:p w:rsidR="003561D4" w:rsidRPr="003561D4" w:rsidP="00A02F47" w14:paraId="7199052F" w14:textId="77777777">
            <w:pPr>
              <w:spacing w:line="240" w:lineRule="auto"/>
              <w:jc w:val="center"/>
              <w:rPr>
                <w:rFonts w:cstheme="minorHAnsi"/>
                <w:b/>
              </w:rPr>
            </w:pPr>
            <w:r w:rsidRPr="003561D4">
              <w:rPr>
                <w:rFonts w:cstheme="minorHAnsi"/>
                <w:b/>
              </w:rPr>
              <w:t>Good homes, green spaces, healthy places</w:t>
            </w:r>
          </w:p>
        </w:tc>
      </w:tr>
    </w:tbl>
    <w:p w:rsidR="003561D4" w:rsidRPr="00D4431F" w:rsidP="003561D4" w14:paraId="57F5979E" w14:textId="77777777">
      <w:pPr>
        <w:spacing w:after="0" w:line="240" w:lineRule="auto"/>
        <w:jc w:val="both"/>
        <w:rPr>
          <w:rFonts w:cstheme="minorHAnsi"/>
          <w:bCs/>
        </w:rPr>
      </w:pPr>
    </w:p>
    <w:p w:rsidR="003561D4" w:rsidP="003561D4" w14:paraId="55A6AB27" w14:textId="7777777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rsidR="003561D4" w:rsidRPr="002F1805" w:rsidP="003561D4" w14:paraId="7600CAA3" w14:textId="77777777">
      <w:pPr>
        <w:pStyle w:val="Heading2"/>
        <w:spacing w:before="0" w:beforeAutospacing="0" w:after="0" w:afterAutospacing="0"/>
        <w:rPr>
          <w:rFonts w:asciiTheme="minorHAnsi" w:hAnsiTheme="minorHAnsi" w:cstheme="minorHAnsi"/>
          <w:sz w:val="22"/>
          <w:szCs w:val="22"/>
        </w:rPr>
      </w:pPr>
    </w:p>
    <w:p w:rsidR="003561D4" w:rsidP="003561D4" w14:paraId="176AB665" w14:textId="77777777">
      <w:pPr>
        <w:numPr>
          <w:ilvl w:val="0"/>
          <w:numId w:val="8"/>
        </w:numPr>
        <w:spacing w:after="0" w:line="240" w:lineRule="auto"/>
        <w:ind w:left="567" w:hanging="567"/>
        <w:jc w:val="both"/>
        <w:rPr>
          <w:rFonts w:cstheme="minorHAnsi"/>
          <w:bCs/>
          <w:iCs/>
        </w:rPr>
      </w:pPr>
      <w:r w:rsidRPr="0010058B">
        <w:rPr>
          <w:rFonts w:cstheme="minorHAnsi"/>
          <w:bCs/>
          <w:iCs/>
        </w:rPr>
        <w:t xml:space="preserve">In line with Auditing Standards, and to support the Audit </w:t>
      </w:r>
      <w:r>
        <w:rPr>
          <w:rFonts w:cstheme="minorHAnsi"/>
          <w:bCs/>
          <w:iCs/>
        </w:rPr>
        <w:t>p</w:t>
      </w:r>
      <w:r w:rsidRPr="0010058B">
        <w:rPr>
          <w:rFonts w:cstheme="minorHAnsi"/>
          <w:bCs/>
          <w:iCs/>
        </w:rPr>
        <w:t>lanning process, the External Auditors need to establish the risk of fraud or error.</w:t>
      </w:r>
    </w:p>
    <w:p w:rsidR="003561D4" w:rsidRPr="0010058B" w:rsidP="003561D4" w14:paraId="73E3F8CF" w14:textId="77777777">
      <w:pPr>
        <w:spacing w:after="0" w:line="240" w:lineRule="auto"/>
        <w:ind w:left="786"/>
        <w:jc w:val="both"/>
        <w:rPr>
          <w:rFonts w:cstheme="minorHAnsi"/>
          <w:bCs/>
          <w:iCs/>
        </w:rPr>
      </w:pPr>
    </w:p>
    <w:p w:rsidR="003561D4" w:rsidP="003561D4" w14:paraId="0BCD1F47" w14:textId="77777777">
      <w:pPr>
        <w:pStyle w:val="Heading2"/>
        <w:spacing w:before="0" w:beforeAutospacing="0" w:after="0" w:afterAutospacing="0"/>
        <w:rPr>
          <w:rFonts w:asciiTheme="majorHAnsi" w:hAnsiTheme="majorHAnsi" w:cstheme="majorHAnsi"/>
          <w:sz w:val="22"/>
          <w:szCs w:val="22"/>
        </w:rPr>
      </w:pPr>
      <w:bookmarkStart w:id="2" w:name="_Hlk107392085"/>
      <w:r w:rsidRPr="00297AB9">
        <w:rPr>
          <w:rFonts w:asciiTheme="majorHAnsi" w:hAnsiTheme="majorHAnsi" w:cstheme="majorHAnsi"/>
          <w:kern w:val="36"/>
          <w:sz w:val="22"/>
          <w:szCs w:val="22"/>
        </w:rPr>
        <w:t>Climate</w:t>
      </w:r>
      <w:r>
        <w:rPr>
          <w:rFonts w:asciiTheme="majorHAnsi" w:hAnsiTheme="majorHAnsi" w:cstheme="majorHAnsi"/>
          <w:sz w:val="22"/>
          <w:szCs w:val="22"/>
        </w:rPr>
        <w:t xml:space="preserve"> change and air quality</w:t>
      </w:r>
    </w:p>
    <w:p w:rsidR="003561D4" w:rsidRPr="00E06F2E" w:rsidP="003561D4" w14:paraId="5735A6DB" w14:textId="77777777">
      <w:pPr>
        <w:tabs>
          <w:tab w:val="left" w:pos="567"/>
        </w:tabs>
        <w:spacing w:after="0" w:line="240" w:lineRule="auto"/>
        <w:ind w:right="-284"/>
        <w:rPr>
          <w:rFonts w:ascii="Arial" w:eastAsia="Times New Roman" w:hAnsi="Arial" w:cs="Arial"/>
          <w:lang w:eastAsia="en-GB"/>
        </w:rPr>
      </w:pPr>
    </w:p>
    <w:p w:rsidR="003561D4" w:rsidRPr="0010058B" w:rsidP="003561D4" w14:paraId="404F0503" w14:textId="77777777">
      <w:pPr>
        <w:pStyle w:val="ListParagraph"/>
        <w:numPr>
          <w:ilvl w:val="0"/>
          <w:numId w:val="8"/>
        </w:numPr>
        <w:spacing w:after="0" w:line="240" w:lineRule="auto"/>
        <w:ind w:left="567" w:hanging="567"/>
        <w:rPr>
          <w:rFonts w:ascii="Arial" w:hAnsi="Arial" w:cs="Arial"/>
          <w:lang w:eastAsia="en-GB"/>
        </w:rPr>
      </w:pPr>
      <w:r>
        <w:t>The work noted in this report does not impact the climate change and sustainability targets of the Council’s Green Agenda.</w:t>
      </w:r>
      <w:r>
        <w:cr/>
      </w:r>
    </w:p>
    <w:p w:rsidR="003561D4" w:rsidP="003561D4" w14:paraId="32801BAF" w14:textId="77777777">
      <w:pPr>
        <w:pStyle w:val="Heading2"/>
        <w:spacing w:before="0" w:beforeAutospacing="0" w:after="0" w:afterAutospacing="0"/>
        <w:rPr>
          <w:rFonts w:asciiTheme="majorHAnsi" w:hAnsiTheme="majorHAnsi" w:cstheme="majorHAnsi"/>
          <w:sz w:val="22"/>
          <w:szCs w:val="22"/>
        </w:rPr>
      </w:pPr>
      <w:bookmarkStart w:id="3" w:name="_Hlk107392059"/>
      <w:bookmarkEnd w:id="2"/>
      <w:r w:rsidRPr="00ED4FF1">
        <w:rPr>
          <w:rFonts w:asciiTheme="majorHAnsi" w:hAnsiTheme="majorHAnsi" w:cstheme="majorHAnsi"/>
          <w:sz w:val="22"/>
          <w:szCs w:val="22"/>
        </w:rPr>
        <w:t>Equality and diversity</w:t>
      </w:r>
    </w:p>
    <w:p w:rsidR="003561D4" w:rsidRPr="00ED4FF1" w:rsidP="003561D4" w14:paraId="77B2C902" w14:textId="77777777">
      <w:pPr>
        <w:pStyle w:val="Heading2"/>
        <w:spacing w:before="0" w:beforeAutospacing="0" w:after="0" w:afterAutospacing="0"/>
        <w:rPr>
          <w:rFonts w:asciiTheme="majorHAnsi" w:hAnsiTheme="majorHAnsi" w:cstheme="majorHAnsi"/>
          <w:sz w:val="22"/>
          <w:szCs w:val="22"/>
        </w:rPr>
      </w:pPr>
    </w:p>
    <w:p w:rsidR="003561D4" w:rsidRPr="00A964C7" w:rsidP="003561D4" w14:paraId="20D65A06" w14:textId="77777777">
      <w:pPr>
        <w:pStyle w:val="Heading2"/>
        <w:numPr>
          <w:ilvl w:val="0"/>
          <w:numId w:val="8"/>
        </w:numPr>
        <w:spacing w:before="0" w:beforeAutospacing="0" w:after="0" w:afterAutospacing="0"/>
        <w:ind w:left="567" w:hanging="567"/>
        <w:rPr>
          <w:rFonts w:ascii="Arial" w:hAnsi="Arial" w:cs="Arial"/>
          <w:b w:val="0"/>
          <w:bCs w:val="0"/>
          <w:sz w:val="22"/>
          <w:szCs w:val="22"/>
        </w:rPr>
      </w:pPr>
      <w:r>
        <w:rPr>
          <w:rFonts w:ascii="Arial" w:hAnsi="Arial" w:cs="Arial"/>
          <w:b w:val="0"/>
          <w:bCs w:val="0"/>
          <w:sz w:val="22"/>
          <w:szCs w:val="22"/>
        </w:rPr>
        <w:t>Not applicable.</w:t>
      </w:r>
    </w:p>
    <w:p w:rsidR="003561D4" w:rsidP="003561D4" w14:paraId="5A485B3D" w14:textId="77777777">
      <w:pPr>
        <w:spacing w:after="0" w:line="240" w:lineRule="auto"/>
        <w:jc w:val="both"/>
        <w:rPr>
          <w:rFonts w:cstheme="minorHAnsi"/>
          <w:bCs/>
          <w:iCs/>
        </w:rPr>
      </w:pPr>
    </w:p>
    <w:p w:rsidR="003561D4" w:rsidP="003561D4" w14:paraId="24E122CE" w14:textId="77777777">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Risk</w:t>
      </w:r>
    </w:p>
    <w:bookmarkEnd w:id="3"/>
    <w:p w:rsidR="003561D4" w:rsidP="003561D4" w14:paraId="6C010509" w14:textId="77777777">
      <w:pPr>
        <w:spacing w:after="0"/>
      </w:pPr>
    </w:p>
    <w:p w:rsidR="003561D4" w:rsidRPr="00D33164" w:rsidP="003561D4" w14:paraId="7E2B200E" w14:textId="77777777">
      <w:pPr>
        <w:pStyle w:val="Heading2"/>
        <w:numPr>
          <w:ilvl w:val="0"/>
          <w:numId w:val="8"/>
        </w:numPr>
        <w:spacing w:before="0" w:beforeAutospacing="0" w:after="0" w:afterAutospacing="0"/>
        <w:ind w:left="567" w:hanging="567"/>
        <w:rPr>
          <w:rFonts w:asciiTheme="minorHAnsi" w:hAnsiTheme="minorHAnsi" w:cstheme="minorHAnsi"/>
          <w:b w:val="0"/>
          <w:bCs w:val="0"/>
          <w:sz w:val="20"/>
          <w:szCs w:val="20"/>
        </w:rPr>
      </w:pPr>
      <w:r w:rsidRPr="00D33164">
        <w:rPr>
          <w:rFonts w:ascii="Arial" w:hAnsi="Arial" w:cs="Arial"/>
          <w:b w:val="0"/>
          <w:bCs w:val="0"/>
          <w:sz w:val="22"/>
          <w:szCs w:val="22"/>
        </w:rPr>
        <w:t xml:space="preserve">The risks identified to the External Auditors, in response to the planning enquiries are detailed in the Appendices to the report. </w:t>
      </w:r>
    </w:p>
    <w:p w:rsidR="003561D4" w:rsidRPr="00D33164" w:rsidP="003561D4" w14:paraId="5779A79B" w14:textId="77777777">
      <w:pPr>
        <w:pStyle w:val="Heading2"/>
        <w:spacing w:before="0" w:beforeAutospacing="0" w:after="0" w:afterAutospacing="0"/>
        <w:ind w:left="786"/>
        <w:rPr>
          <w:rFonts w:asciiTheme="minorHAnsi" w:hAnsiTheme="minorHAnsi" w:cstheme="minorHAnsi"/>
          <w:b w:val="0"/>
          <w:bCs w:val="0"/>
          <w:sz w:val="20"/>
          <w:szCs w:val="20"/>
        </w:rPr>
      </w:pPr>
    </w:p>
    <w:p w:rsidR="003561D4" w:rsidRPr="006B1C4D" w:rsidP="003561D4" w14:paraId="711FBC26" w14:textId="77777777">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rsidR="003561D4" w:rsidRPr="00D90F07" w:rsidP="003561D4" w14:paraId="6981EBA6" w14:textId="77777777">
      <w:pPr>
        <w:numPr>
          <w:ilvl w:val="0"/>
          <w:numId w:val="8"/>
        </w:numPr>
        <w:spacing w:after="0" w:line="240" w:lineRule="auto"/>
        <w:ind w:left="567" w:hanging="567"/>
        <w:jc w:val="both"/>
        <w:rPr>
          <w:rFonts w:cstheme="minorHAnsi"/>
          <w:bCs/>
          <w:iCs/>
        </w:rPr>
      </w:pPr>
      <w:r w:rsidRPr="00D90F07">
        <w:rPr>
          <w:rFonts w:cstheme="minorHAnsi"/>
          <w:bCs/>
          <w:iCs/>
        </w:rPr>
        <w:t>As part of their responsibilities in conducting the audit of the statutory accounts, the External Auditors are required to seek responses, and request information, on all aspects of the Council’s activities as they feel are necessary. The information</w:t>
      </w:r>
      <w:r>
        <w:rPr>
          <w:rFonts w:cstheme="minorHAnsi"/>
          <w:bCs/>
          <w:iCs/>
        </w:rPr>
        <w:t xml:space="preserve"> </w:t>
      </w:r>
      <w:r w:rsidRPr="00D90F07">
        <w:rPr>
          <w:rFonts w:cstheme="minorHAnsi"/>
          <w:bCs/>
          <w:iCs/>
        </w:rPr>
        <w:t>requested as part of their planning enquiries, is in line with this.</w:t>
      </w:r>
    </w:p>
    <w:p w:rsidR="003561D4" w:rsidRPr="00D4431F" w:rsidP="003561D4" w14:paraId="383A243C" w14:textId="77777777">
      <w:pPr>
        <w:spacing w:after="0" w:line="240" w:lineRule="auto"/>
        <w:jc w:val="both"/>
        <w:rPr>
          <w:rFonts w:cstheme="minorHAnsi"/>
          <w:bCs/>
        </w:rPr>
      </w:pPr>
    </w:p>
    <w:p w:rsidR="003561D4" w:rsidRPr="006B1C4D" w:rsidP="003561D4" w14:paraId="298CDEFA" w14:textId="77777777">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rsidR="003561D4" w:rsidRPr="00D90F07" w:rsidP="003561D4" w14:paraId="1C52D3BF" w14:textId="77777777">
      <w:pPr>
        <w:numPr>
          <w:ilvl w:val="0"/>
          <w:numId w:val="8"/>
        </w:numPr>
        <w:spacing w:after="0" w:line="240" w:lineRule="auto"/>
        <w:ind w:left="567" w:hanging="567"/>
        <w:jc w:val="both"/>
        <w:rPr>
          <w:rFonts w:cstheme="minorHAnsi"/>
        </w:rPr>
      </w:pPr>
      <w:r w:rsidRPr="00D90F07">
        <w:rPr>
          <w:rFonts w:cstheme="minorHAnsi"/>
          <w:iCs/>
        </w:rPr>
        <w:t>No further comments in addition to above.</w:t>
      </w:r>
    </w:p>
    <w:p w:rsidR="003561D4" w:rsidRPr="00D90F07" w:rsidP="003561D4" w14:paraId="3091FF55" w14:textId="77777777">
      <w:pPr>
        <w:spacing w:after="0" w:line="240" w:lineRule="auto"/>
        <w:ind w:left="567"/>
        <w:jc w:val="both"/>
        <w:rPr>
          <w:rFonts w:cstheme="minorHAnsi"/>
        </w:rPr>
      </w:pPr>
    </w:p>
    <w:p w:rsidR="003561D4" w:rsidP="003561D4" w14:paraId="6BFD3B84" w14:textId="77777777">
      <w:pPr>
        <w:spacing w:after="0"/>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r w:rsidRPr="006B1C4D">
        <w:rPr>
          <w:rFonts w:eastAsia="Times New Roman" w:cstheme="minorHAnsi"/>
          <w:b/>
          <w:bCs/>
          <w:color w:val="000000" w:themeColor="text1"/>
          <w:kern w:val="36"/>
          <w:sz w:val="14"/>
          <w:szCs w:val="14"/>
          <w:lang w:eastAsia="en-GB"/>
        </w:rPr>
        <w:t xml:space="preserve"> </w:t>
      </w:r>
    </w:p>
    <w:p w:rsidR="003561D4" w:rsidRPr="002F1805" w:rsidP="003561D4" w14:paraId="6CE11669" w14:textId="77777777">
      <w:pPr>
        <w:pStyle w:val="Heading2"/>
        <w:spacing w:before="0" w:beforeAutospacing="0" w:after="0" w:afterAutospacing="0"/>
        <w:rPr>
          <w:rFonts w:asciiTheme="minorHAnsi" w:hAnsiTheme="minorHAnsi" w:cstheme="minorHAnsi"/>
          <w:b w:val="0"/>
          <w:bCs w:val="0"/>
          <w:sz w:val="22"/>
          <w:szCs w:val="22"/>
        </w:rPr>
      </w:pPr>
    </w:p>
    <w:p w:rsidR="003561D4" w:rsidRPr="002F1805" w:rsidP="003561D4" w14:paraId="1225A3DF" w14:textId="77777777">
      <w:pPr>
        <w:pStyle w:val="Heading2"/>
        <w:spacing w:before="0" w:beforeAutospacing="0" w:after="0" w:afterAutospacing="0"/>
        <w:rPr>
          <w:rFonts w:asciiTheme="minorHAnsi" w:hAnsiTheme="minorHAnsi" w:cstheme="minorHAnsi"/>
          <w:b w:val="0"/>
          <w:bCs w:val="0"/>
          <w:iCs/>
          <w:sz w:val="22"/>
          <w:szCs w:val="22"/>
        </w:rPr>
      </w:pPr>
      <w:r>
        <w:rPr>
          <w:rFonts w:asciiTheme="minorHAnsi" w:hAnsiTheme="minorHAnsi" w:cstheme="minorHAnsi"/>
          <w:b w:val="0"/>
          <w:bCs w:val="0"/>
          <w:iCs/>
          <w:sz w:val="22"/>
          <w:szCs w:val="22"/>
        </w:rPr>
        <w:t>There are no background papers to this report.</w:t>
      </w:r>
    </w:p>
    <w:p w:rsidR="003561D4" w:rsidRPr="002F1805" w:rsidP="003561D4" w14:paraId="490C60E0" w14:textId="77777777">
      <w:pPr>
        <w:pStyle w:val="Heading2"/>
        <w:spacing w:before="0" w:beforeAutospacing="0" w:after="0" w:afterAutospacing="0"/>
        <w:rPr>
          <w:rFonts w:asciiTheme="minorHAnsi" w:hAnsiTheme="minorHAnsi" w:cstheme="minorHAnsi"/>
          <w:b w:val="0"/>
          <w:bCs w:val="0"/>
          <w:iCs/>
          <w:sz w:val="22"/>
          <w:szCs w:val="22"/>
        </w:rPr>
      </w:pPr>
    </w:p>
    <w:p w:rsidR="003561D4" w:rsidP="003561D4" w14:paraId="7AED5A6C" w14:textId="7777777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rsidR="003561D4" w:rsidRPr="002F1805" w:rsidP="003561D4" w14:paraId="7EB2D465" w14:textId="77777777">
      <w:pPr>
        <w:pStyle w:val="Heading2"/>
        <w:spacing w:after="0"/>
        <w:ind w:left="1418" w:hanging="1418"/>
        <w:rPr>
          <w:rFonts w:asciiTheme="minorHAnsi" w:hAnsiTheme="minorHAnsi" w:cstheme="minorHAnsi"/>
          <w:b w:val="0"/>
          <w:bCs w:val="0"/>
          <w:sz w:val="22"/>
          <w:szCs w:val="22"/>
        </w:rPr>
      </w:pPr>
      <w:r w:rsidRPr="00D57C98">
        <w:rPr>
          <w:rFonts w:asciiTheme="minorHAnsi" w:hAnsiTheme="minorHAnsi" w:cstheme="minorHAnsi"/>
          <w:b w:val="0"/>
          <w:bCs w:val="0"/>
          <w:iCs/>
          <w:color w:val="000000" w:themeColor="text1"/>
          <w:kern w:val="36"/>
          <w:sz w:val="22"/>
          <w:szCs w:val="22"/>
        </w:rPr>
        <w:t xml:space="preserve">Appendix A – External Auditor Planning Enquiries &amp; Management Response </w:t>
      </w:r>
      <w:r>
        <w:rPr>
          <w:rFonts w:asciiTheme="minorHAnsi" w:hAnsiTheme="minorHAnsi" w:cstheme="minorHAnsi"/>
          <w:b w:val="0"/>
          <w:bCs w:val="0"/>
          <w:iCs/>
          <w:color w:val="000000" w:themeColor="text1"/>
          <w:kern w:val="36"/>
          <w:sz w:val="22"/>
          <w:szCs w:val="22"/>
        </w:rPr>
        <w:t xml:space="preserve">&amp; </w:t>
      </w:r>
      <w:r w:rsidRPr="00D57C98">
        <w:rPr>
          <w:rFonts w:asciiTheme="minorHAnsi" w:hAnsiTheme="minorHAnsi" w:cstheme="minorHAnsi"/>
          <w:b w:val="0"/>
          <w:bCs w:val="0"/>
          <w:iCs/>
          <w:color w:val="000000" w:themeColor="text1"/>
          <w:kern w:val="36"/>
          <w:sz w:val="22"/>
          <w:szCs w:val="22"/>
        </w:rPr>
        <w:t>Estimates used in the production of the 202</w:t>
      </w:r>
      <w:r>
        <w:rPr>
          <w:rFonts w:asciiTheme="minorHAnsi" w:hAnsiTheme="minorHAnsi" w:cstheme="minorHAnsi"/>
          <w:b w:val="0"/>
          <w:bCs w:val="0"/>
          <w:iCs/>
          <w:color w:val="000000" w:themeColor="text1"/>
          <w:kern w:val="36"/>
          <w:sz w:val="22"/>
          <w:szCs w:val="22"/>
        </w:rPr>
        <w:t>2</w:t>
      </w:r>
      <w:r w:rsidRPr="00D57C98">
        <w:rPr>
          <w:rFonts w:asciiTheme="minorHAnsi" w:hAnsiTheme="minorHAnsi" w:cstheme="minorHAnsi"/>
          <w:b w:val="0"/>
          <w:bCs w:val="0"/>
          <w:iCs/>
          <w:color w:val="000000" w:themeColor="text1"/>
          <w:kern w:val="36"/>
          <w:sz w:val="22"/>
          <w:szCs w:val="22"/>
        </w:rPr>
        <w:t>/2</w:t>
      </w:r>
      <w:r>
        <w:rPr>
          <w:rFonts w:asciiTheme="minorHAnsi" w:hAnsiTheme="minorHAnsi" w:cstheme="minorHAnsi"/>
          <w:b w:val="0"/>
          <w:bCs w:val="0"/>
          <w:iCs/>
          <w:color w:val="000000" w:themeColor="text1"/>
          <w:kern w:val="36"/>
          <w:sz w:val="22"/>
          <w:szCs w:val="22"/>
        </w:rPr>
        <w:t>3</w:t>
      </w:r>
      <w:r w:rsidRPr="00D57C98">
        <w:rPr>
          <w:rFonts w:asciiTheme="minorHAnsi" w:hAnsiTheme="minorHAnsi" w:cstheme="minorHAnsi"/>
          <w:b w:val="0"/>
          <w:bCs w:val="0"/>
          <w:iCs/>
          <w:color w:val="000000" w:themeColor="text1"/>
          <w:kern w:val="36"/>
          <w:sz w:val="22"/>
          <w:szCs w:val="22"/>
        </w:rPr>
        <w:t xml:space="preserve"> Accounts</w:t>
      </w:r>
      <w:r>
        <w:rPr>
          <w:rFonts w:asciiTheme="minorHAnsi" w:hAnsiTheme="minorHAnsi" w:cstheme="minorHAnsi"/>
          <w:b w:val="0"/>
          <w:bCs w:val="0"/>
          <w:iCs/>
          <w:color w:val="000000" w:themeColor="text1"/>
          <w:kern w:val="36"/>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8"/>
        <w:gridCol w:w="3828"/>
        <w:gridCol w:w="1398"/>
        <w:gridCol w:w="917"/>
      </w:tblGrid>
      <w:tr w14:paraId="0510978C" w14:textId="77777777" w:rsidTr="003561D4">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544" w:type="dxa"/>
            <w:shd w:val="clear" w:color="auto" w:fill="auto"/>
          </w:tcPr>
          <w:p w:rsidR="003561D4" w:rsidRPr="00D1305C" w:rsidP="00A02F47" w14:paraId="2D8B2DF0"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3048" w:type="dxa"/>
          </w:tcPr>
          <w:p w:rsidR="003561D4" w:rsidRPr="00D1305C" w:rsidP="00A02F47" w14:paraId="4F6E24C8"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434" w:type="dxa"/>
            <w:shd w:val="clear" w:color="auto" w:fill="auto"/>
          </w:tcPr>
          <w:p w:rsidR="003561D4" w:rsidRPr="00D1305C" w:rsidP="00A02F47" w14:paraId="4F85E944"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995" w:type="dxa"/>
            <w:shd w:val="clear" w:color="auto" w:fill="auto"/>
          </w:tcPr>
          <w:p w:rsidR="003561D4" w:rsidRPr="00D1305C" w:rsidP="00A02F47" w14:paraId="5F52C306" w14:textId="7777777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14:paraId="5D28F1A5" w14:textId="77777777" w:rsidTr="003561D4">
        <w:tblPrEx>
          <w:tblW w:w="0" w:type="auto"/>
          <w:tblInd w:w="-5" w:type="dxa"/>
          <w:tblLook w:val="04A0"/>
        </w:tblPrEx>
        <w:tc>
          <w:tcPr>
            <w:tcW w:w="3544" w:type="dxa"/>
            <w:shd w:val="clear" w:color="auto" w:fill="auto"/>
          </w:tcPr>
          <w:p w:rsidR="003561D4" w:rsidP="00A02F47" w14:paraId="68928B95" w14:textId="7777777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Steve Kenyon (Interim Deputy Director of Finance)</w:t>
            </w:r>
          </w:p>
          <w:p w:rsidR="003561D4" w:rsidRPr="00D1305C" w:rsidP="003561D4" w14:paraId="5901B608" w14:textId="77777777">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Jeanie Waddington (Principal Financial Accountant)</w:t>
            </w:r>
          </w:p>
        </w:tc>
        <w:tc>
          <w:tcPr>
            <w:tcW w:w="3048" w:type="dxa"/>
          </w:tcPr>
          <w:p w:rsidR="003561D4" w:rsidP="00A02F47" w14:paraId="31B1481E" w14:textId="644646F6">
            <w:pPr>
              <w:jc w:val="both"/>
              <w:rPr>
                <w:rStyle w:val="Hyperlink"/>
                <w:rFonts w:eastAsia="Times New Roman" w:cstheme="minorHAnsi"/>
                <w:bCs/>
                <w:kern w:val="36"/>
                <w:lang w:eastAsia="en-GB"/>
              </w:rPr>
            </w:pPr>
            <w:hyperlink r:id="rId6" w:history="1">
              <w:r w:rsidRPr="00E04BB4">
                <w:rPr>
                  <w:rStyle w:val="Hyperlink"/>
                  <w:rFonts w:eastAsia="Times New Roman" w:cstheme="minorHAnsi"/>
                  <w:bCs/>
                  <w:kern w:val="36"/>
                  <w:lang w:eastAsia="en-GB"/>
                </w:rPr>
                <w:t>steve.kenyon@</w:t>
              </w:r>
              <w:r w:rsidRPr="00E04BB4">
                <w:rPr>
                  <w:rStyle w:val="Hyperlink"/>
                  <w:rFonts w:eastAsia="Times New Roman" w:cstheme="minorHAnsi"/>
                  <w:bCs/>
                  <w:kern w:val="36"/>
                  <w:lang w:eastAsia="en-GB"/>
                </w:rPr>
                <w:t>s</w:t>
              </w:r>
              <w:r w:rsidRPr="00E04BB4">
                <w:rPr>
                  <w:rStyle w:val="Hyperlink"/>
                </w:rPr>
                <w:t>outhribble</w:t>
              </w:r>
              <w:r w:rsidRPr="00E04BB4">
                <w:rPr>
                  <w:rStyle w:val="Hyperlink"/>
                  <w:rFonts w:eastAsia="Times New Roman" w:cstheme="minorHAnsi"/>
                  <w:bCs/>
                  <w:kern w:val="36"/>
                  <w:lang w:eastAsia="en-GB"/>
                </w:rPr>
                <w:t>.gov.uk</w:t>
              </w:r>
            </w:hyperlink>
          </w:p>
          <w:p w:rsidR="003561D4" w:rsidP="00A02F47" w14:paraId="7928805C" w14:textId="77777777">
            <w:pPr>
              <w:jc w:val="both"/>
              <w:rPr>
                <w:rFonts w:eastAsia="Times New Roman" w:cstheme="minorHAnsi"/>
                <w:bCs/>
                <w:color w:val="000000" w:themeColor="text1"/>
                <w:kern w:val="36"/>
                <w:lang w:eastAsia="en-GB"/>
              </w:rPr>
            </w:pPr>
          </w:p>
          <w:p w:rsidR="003561D4" w:rsidRPr="00D1305C" w:rsidP="00A02F47" w14:paraId="21D144FB" w14:textId="77F5D893">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jean.waddington@</w:t>
            </w:r>
            <w:r>
              <w:rPr>
                <w:rFonts w:eastAsia="Times New Roman" w:cstheme="minorHAnsi"/>
                <w:bCs/>
                <w:color w:val="000000" w:themeColor="text1"/>
                <w:kern w:val="36"/>
                <w:lang w:eastAsia="en-GB"/>
              </w:rPr>
              <w:t>southribble</w:t>
            </w:r>
            <w:r>
              <w:rPr>
                <w:rFonts w:eastAsia="Times New Roman" w:cstheme="minorHAnsi"/>
                <w:bCs/>
                <w:color w:val="000000" w:themeColor="text1"/>
                <w:kern w:val="36"/>
                <w:lang w:eastAsia="en-GB"/>
              </w:rPr>
              <w:t>.gov.uk</w:t>
            </w: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fldChar w:fldCharType="end"/>
            </w:r>
          </w:p>
        </w:tc>
        <w:tc>
          <w:tcPr>
            <w:tcW w:w="1434" w:type="dxa"/>
            <w:tcBorders>
              <w:bottom w:val="single" w:sz="4" w:space="0" w:color="auto"/>
            </w:tcBorders>
            <w:shd w:val="clear" w:color="auto" w:fill="auto"/>
          </w:tcPr>
          <w:p w:rsidR="003561D4" w:rsidP="00A02F47" w14:paraId="745018E3" w14:textId="7777777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01257 515151</w:t>
            </w:r>
          </w:p>
          <w:p w:rsidR="003561D4" w:rsidRPr="00D1305C" w:rsidP="00A02F47" w14:paraId="3FD7B626" w14:textId="7777777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01257 515151</w:t>
            </w:r>
          </w:p>
        </w:tc>
        <w:tc>
          <w:tcPr>
            <w:tcW w:w="995" w:type="dxa"/>
            <w:shd w:val="clear" w:color="auto" w:fill="auto"/>
          </w:tcPr>
          <w:p w:rsidR="003561D4" w:rsidRPr="00D1305C" w:rsidP="00A02F47" w14:paraId="5173A90B" w14:textId="77777777">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19</w:t>
            </w:r>
            <w:r w:rsidRPr="00A122EC">
              <w:rPr>
                <w:rFonts w:eastAsia="Times New Roman" w:cstheme="minorHAnsi"/>
                <w:bCs/>
                <w:color w:val="000000" w:themeColor="text1"/>
                <w:kern w:val="36"/>
                <w:vertAlign w:val="superscript"/>
                <w:lang w:eastAsia="en-GB"/>
              </w:rPr>
              <w:t>th</w:t>
            </w:r>
            <w:r>
              <w:rPr>
                <w:rFonts w:eastAsia="Times New Roman" w:cstheme="minorHAnsi"/>
                <w:bCs/>
                <w:color w:val="000000" w:themeColor="text1"/>
                <w:kern w:val="36"/>
                <w:lang w:eastAsia="en-GB"/>
              </w:rPr>
              <w:t xml:space="preserve"> April 2023</w:t>
            </w:r>
          </w:p>
        </w:tc>
      </w:tr>
    </w:tbl>
    <w:p w:rsidR="002A4A7D" w:rsidRPr="007D7E24" w:rsidP="003565C5" w14:paraId="43BBCBF1" w14:textId="77777777">
      <w:pPr>
        <w:spacing w:after="0" w:line="240" w:lineRule="auto"/>
        <w:jc w:val="both"/>
        <w:rPr>
          <w:rFonts w:cstheme="minorHAnsi"/>
          <w:bCs/>
          <w:iCs/>
          <w:highlight w:val="yellow"/>
        </w:rPr>
      </w:pPr>
    </w:p>
    <w:bookmarkEnd w:id="1"/>
    <w:p w:rsidR="0025620C" w:rsidRPr="005C459D" w:rsidP="003561D4" w14:paraId="43BBCC2D" w14:textId="77777777">
      <w:pPr>
        <w:spacing w:after="0"/>
        <w:rPr>
          <w:rFonts w:cstheme="minorHAnsi"/>
          <w:bCs/>
          <w:color w:val="000000" w:themeColor="text1"/>
          <w:lang w:val="en-US"/>
        </w:rPr>
      </w:pPr>
    </w:p>
    <w:sectPr w:rsidSect="00D4431F">
      <w:head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76A9" w14:paraId="43BBCC30" w14:textId="77777777">
    <w:pPr>
      <w:pStyle w:val="Header"/>
    </w:pPr>
  </w:p>
  <w:p w:rsidR="00B176A9" w14:paraId="43BBCC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168101F"/>
    <w:multiLevelType w:val="hybridMultilevel"/>
    <w:tmpl w:val="277E626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4D52B7"/>
    <w:multiLevelType w:val="hybridMultilevel"/>
    <w:tmpl w:val="1E5869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21D1AC7"/>
    <w:multiLevelType w:val="hybridMultilevel"/>
    <w:tmpl w:val="CF2450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CD0A54"/>
    <w:multiLevelType w:val="hybridMultilevel"/>
    <w:tmpl w:val="F31C34D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3A0508"/>
    <w:multiLevelType w:val="hybridMultilevel"/>
    <w:tmpl w:val="26DC21AC"/>
    <w:lvl w:ilvl="0">
      <w:start w:val="17"/>
      <w:numFmt w:val="bullet"/>
      <w:lvlText w:val="-"/>
      <w:lvlJc w:val="left"/>
      <w:pPr>
        <w:ind w:left="720" w:hanging="360"/>
      </w:pPr>
      <w:rPr>
        <w:rFonts w:ascii="Arial" w:hAnsi="Arial" w:eastAsiaTheme="minorHAnsi" w:cs="Arial"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BF00E5"/>
    <w:multiLevelType w:val="hybridMultilevel"/>
    <w:tmpl w:val="83A25146"/>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74F05F1"/>
    <w:multiLevelType w:val="hybridMultilevel"/>
    <w:tmpl w:val="3BDE1F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2306377"/>
    <w:multiLevelType w:val="hybridMultilevel"/>
    <w:tmpl w:val="51C0C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2"/>
  </w:num>
  <w:num w:numId="5">
    <w:abstractNumId w:val="6"/>
  </w:num>
  <w:num w:numId="6">
    <w:abstractNumId w:val="0"/>
  </w:num>
  <w:num w:numId="7">
    <w:abstractNumId w:val="3"/>
  </w:num>
  <w:num w:numId="8">
    <w:abstractNumId w:val="10"/>
  </w:num>
  <w:num w:numId="9">
    <w:abstractNumId w:val="16"/>
  </w:num>
  <w:num w:numId="10">
    <w:abstractNumId w:val="8"/>
  </w:num>
  <w:num w:numId="11">
    <w:abstractNumId w:val="11"/>
  </w:num>
  <w:num w:numId="12">
    <w:abstractNumId w:val="2"/>
  </w:num>
  <w:num w:numId="13">
    <w:abstractNumId w:val="1"/>
  </w:num>
  <w:num w:numId="14">
    <w:abstractNumId w:val="5"/>
  </w:num>
  <w:num w:numId="15">
    <w:abstractNumId w:val="7"/>
  </w:num>
  <w:num w:numId="16">
    <w:abstractNumId w:val="4"/>
  </w:num>
  <w:num w:numId="17">
    <w:abstractNumId w:val="14"/>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5B"/>
    <w:rsid w:val="00007EB9"/>
    <w:rsid w:val="000179AF"/>
    <w:rsid w:val="000377EB"/>
    <w:rsid w:val="00060C18"/>
    <w:rsid w:val="000D0185"/>
    <w:rsid w:val="0010058B"/>
    <w:rsid w:val="001073DC"/>
    <w:rsid w:val="00126714"/>
    <w:rsid w:val="001619AA"/>
    <w:rsid w:val="00177B6E"/>
    <w:rsid w:val="00186EE1"/>
    <w:rsid w:val="00200054"/>
    <w:rsid w:val="00252D10"/>
    <w:rsid w:val="0025620C"/>
    <w:rsid w:val="0026328A"/>
    <w:rsid w:val="00284E95"/>
    <w:rsid w:val="00287DD0"/>
    <w:rsid w:val="00297AB9"/>
    <w:rsid w:val="002A4A7D"/>
    <w:rsid w:val="002B087D"/>
    <w:rsid w:val="002B4294"/>
    <w:rsid w:val="002D0145"/>
    <w:rsid w:val="002F1805"/>
    <w:rsid w:val="00322CB1"/>
    <w:rsid w:val="003270B5"/>
    <w:rsid w:val="003561D4"/>
    <w:rsid w:val="003565C5"/>
    <w:rsid w:val="003A69E8"/>
    <w:rsid w:val="003C3484"/>
    <w:rsid w:val="003E3722"/>
    <w:rsid w:val="003F7DEF"/>
    <w:rsid w:val="00416579"/>
    <w:rsid w:val="00473270"/>
    <w:rsid w:val="004758E2"/>
    <w:rsid w:val="0051615B"/>
    <w:rsid w:val="005339B1"/>
    <w:rsid w:val="00572907"/>
    <w:rsid w:val="00582139"/>
    <w:rsid w:val="005B0582"/>
    <w:rsid w:val="005C459D"/>
    <w:rsid w:val="00662DDF"/>
    <w:rsid w:val="006B1C4D"/>
    <w:rsid w:val="006B4EFF"/>
    <w:rsid w:val="006C31D2"/>
    <w:rsid w:val="007021D4"/>
    <w:rsid w:val="00732820"/>
    <w:rsid w:val="007606BD"/>
    <w:rsid w:val="007637E9"/>
    <w:rsid w:val="007D7E24"/>
    <w:rsid w:val="00836CB5"/>
    <w:rsid w:val="0084274C"/>
    <w:rsid w:val="00867F12"/>
    <w:rsid w:val="00883AC9"/>
    <w:rsid w:val="008942E7"/>
    <w:rsid w:val="009811B2"/>
    <w:rsid w:val="009C71DF"/>
    <w:rsid w:val="00A02F47"/>
    <w:rsid w:val="00A122EC"/>
    <w:rsid w:val="00A6290B"/>
    <w:rsid w:val="00A74EA0"/>
    <w:rsid w:val="00A964C7"/>
    <w:rsid w:val="00AA48CD"/>
    <w:rsid w:val="00AC7C3F"/>
    <w:rsid w:val="00AD15F7"/>
    <w:rsid w:val="00B176A9"/>
    <w:rsid w:val="00B704F1"/>
    <w:rsid w:val="00BF1CCE"/>
    <w:rsid w:val="00BF77B2"/>
    <w:rsid w:val="00C10C71"/>
    <w:rsid w:val="00C73EA3"/>
    <w:rsid w:val="00C912A5"/>
    <w:rsid w:val="00CF42B2"/>
    <w:rsid w:val="00D1305C"/>
    <w:rsid w:val="00D33164"/>
    <w:rsid w:val="00D4431F"/>
    <w:rsid w:val="00D57C98"/>
    <w:rsid w:val="00D90F07"/>
    <w:rsid w:val="00D92231"/>
    <w:rsid w:val="00E04BB4"/>
    <w:rsid w:val="00E06F2E"/>
    <w:rsid w:val="00E22E70"/>
    <w:rsid w:val="00E811D7"/>
    <w:rsid w:val="00E8417E"/>
    <w:rsid w:val="00ED4FF1"/>
    <w:rsid w:val="00F2560A"/>
    <w:rsid w:val="00F5266A"/>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43BBCBB3"/>
  <w15:docId w15:val="{7A60DD4F-0943-40F3-97DF-9E42BF43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Revision">
    <w:name w:val="Revision"/>
    <w:hidden/>
    <w:uiPriority w:val="99"/>
    <w:semiHidden/>
    <w:rsid w:val="0058670B"/>
    <w:pPr>
      <w:spacing w:after="0" w:line="240" w:lineRule="auto"/>
    </w:pPr>
  </w:style>
  <w:style w:type="character" w:styleId="Hyperlink">
    <w:name w:val="Hyperlink"/>
    <w:basedOn w:val="DefaultParagraphFont"/>
    <w:uiPriority w:val="99"/>
    <w:unhideWhenUsed/>
    <w:rsid w:val="000377EB"/>
    <w:rPr>
      <w:color w:val="0000FF" w:themeColor="hyperlink"/>
      <w:u w:val="single"/>
    </w:rPr>
  </w:style>
  <w:style w:type="character" w:styleId="UnresolvedMention">
    <w:name w:val="Unresolved Mention"/>
    <w:basedOn w:val="DefaultParagraphFont"/>
    <w:uiPriority w:val="99"/>
    <w:rsid w:val="000377EB"/>
    <w:rPr>
      <w:color w:val="605E5C"/>
      <w:shd w:val="clear" w:color="auto" w:fill="E1DFDD"/>
    </w:rPr>
  </w:style>
  <w:style w:type="table" w:customStyle="1" w:styleId="TableGrid1">
    <w:name w:val="Table Grid1"/>
    <w:basedOn w:val="TableNormal"/>
    <w:next w:val="TableGrid"/>
    <w:uiPriority w:val="59"/>
    <w:rsid w:val="002D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CB1"/>
    <w:rPr>
      <w:sz w:val="16"/>
      <w:szCs w:val="16"/>
    </w:rPr>
  </w:style>
  <w:style w:type="paragraph" w:styleId="CommentText">
    <w:name w:val="annotation text"/>
    <w:basedOn w:val="Normal"/>
    <w:link w:val="CommentTextChar"/>
    <w:uiPriority w:val="99"/>
    <w:semiHidden/>
    <w:unhideWhenUsed/>
    <w:rsid w:val="00322CB1"/>
    <w:pPr>
      <w:spacing w:line="240" w:lineRule="auto"/>
    </w:pPr>
    <w:rPr>
      <w:sz w:val="20"/>
      <w:szCs w:val="20"/>
    </w:rPr>
  </w:style>
  <w:style w:type="character" w:customStyle="1" w:styleId="CommentTextChar">
    <w:name w:val="Comment Text Char"/>
    <w:basedOn w:val="DefaultParagraphFont"/>
    <w:link w:val="CommentText"/>
    <w:uiPriority w:val="99"/>
    <w:semiHidden/>
    <w:rsid w:val="00322CB1"/>
    <w:rPr>
      <w:sz w:val="20"/>
      <w:szCs w:val="20"/>
    </w:rPr>
  </w:style>
  <w:style w:type="paragraph" w:styleId="CommentSubject">
    <w:name w:val="annotation subject"/>
    <w:basedOn w:val="CommentText"/>
    <w:next w:val="CommentText"/>
    <w:link w:val="CommentSubjectChar"/>
    <w:uiPriority w:val="99"/>
    <w:semiHidden/>
    <w:unhideWhenUsed/>
    <w:rsid w:val="00322CB1"/>
    <w:rPr>
      <w:b/>
      <w:bCs/>
    </w:rPr>
  </w:style>
  <w:style w:type="character" w:customStyle="1" w:styleId="CommentSubjectChar">
    <w:name w:val="Comment Subject Char"/>
    <w:basedOn w:val="CommentTextChar"/>
    <w:link w:val="CommentSubject"/>
    <w:uiPriority w:val="99"/>
    <w:semiHidden/>
    <w:rsid w:val="00322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steve.kenyon@southribble.gov.uk"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463890-433F-4556-923E-92980A86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Rimmington</dc:creator>
  <cp:lastModifiedBy>Steve Kenyon</cp:lastModifiedBy>
  <cp:revision>4</cp:revision>
  <cp:lastPrinted>2014-03-21T13:56:00Z</cp:lastPrinted>
  <dcterms:created xsi:type="dcterms:W3CDTF">2023-04-19T10:28:00Z</dcterms:created>
  <dcterms:modified xsi:type="dcterms:W3CDTF">2023-04-19T12:03:00Z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Extra Care Project - West Paddock Budget Approval</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Looqman Mulla</vt:lpwstr>
  </property>
  <property fmtid="{D5CDD505-2E9C-101B-9397-08002B2CF9AE}" pid="7" name="LeadOfficerEmail">
    <vt:lpwstr>looqman.mulla@southribble.gov.uk</vt:lpwstr>
  </property>
  <property fmtid="{D5CDD505-2E9C-101B-9397-08002B2CF9AE}" pid="8" name="LeadOfficerPost">
    <vt:lpwstr>Project Manager</vt:lpwstr>
  </property>
  <property fmtid="{D5CDD505-2E9C-101B-9397-08002B2CF9AE}" pid="9" name="MeetingDate">
    <vt:lpwstr>Wednesday, 18 May 2022</vt:lpwstr>
  </property>
  <property fmtid="{D5CDD505-2E9C-101B-9397-08002B2CF9AE}" pid="10" name="MeetingDateLegal">
    <vt:lpwstr>MeetingDateLegal</vt:lpwstr>
  </property>
</Properties>
</file>